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31E6" w14:textId="4E4D86E7" w:rsidR="00042FF3" w:rsidRPr="004E57ED" w:rsidRDefault="004E57ED" w:rsidP="004E57ED">
      <w:pPr>
        <w:ind w:left="1829" w:right="1829"/>
        <w:jc w:val="center"/>
        <w:rPr>
          <w:b/>
          <w:bCs/>
          <w:sz w:val="40"/>
          <w:szCs w:val="40"/>
        </w:rPr>
      </w:pPr>
      <w:r w:rsidRPr="004E57ED">
        <w:rPr>
          <w:b/>
          <w:bCs/>
          <w:sz w:val="40"/>
          <w:szCs w:val="40"/>
        </w:rPr>
        <w:t>“INNOVATIONS WEEKLY”</w:t>
      </w:r>
    </w:p>
    <w:p w14:paraId="35D60C8F" w14:textId="729B7028" w:rsidR="004E57ED" w:rsidRDefault="004E57ED" w:rsidP="004E57ED">
      <w:pPr>
        <w:ind w:left="1829" w:right="1829"/>
        <w:jc w:val="center"/>
        <w:rPr>
          <w:b/>
          <w:bCs/>
          <w:sz w:val="28"/>
          <w:szCs w:val="28"/>
        </w:rPr>
      </w:pPr>
      <w:r w:rsidRPr="004E57ED">
        <w:rPr>
          <w:b/>
          <w:bCs/>
          <w:sz w:val="28"/>
          <w:szCs w:val="28"/>
        </w:rPr>
        <w:t>EXPLORING THE FUTURE OF TECHNOLOGY</w:t>
      </w:r>
    </w:p>
    <w:p w14:paraId="131BFCCA" w14:textId="0BDB00AF" w:rsidR="004E57ED" w:rsidRDefault="004E57ED" w:rsidP="004E57ED">
      <w:pPr>
        <w:ind w:left="1829" w:right="1829"/>
        <w:jc w:val="center"/>
        <w:rPr>
          <w:b/>
          <w:bCs/>
          <w:sz w:val="28"/>
          <w:szCs w:val="28"/>
        </w:rPr>
      </w:pPr>
      <w:r w:rsidRPr="004E57ED">
        <w:rPr>
          <w:b/>
          <w:bCs/>
          <w:sz w:val="28"/>
          <w:szCs w:val="28"/>
        </w:rPr>
        <w:t>ASSIGNMENT DUTE DATE</w:t>
      </w:r>
    </w:p>
    <w:p w14:paraId="4D85CE87" w14:textId="77777777" w:rsidR="006A0CEE" w:rsidRDefault="006A0CEE" w:rsidP="004E57ED">
      <w:pPr>
        <w:ind w:left="1829" w:right="1829"/>
        <w:jc w:val="center"/>
        <w:rPr>
          <w:b/>
          <w:bCs/>
          <w:sz w:val="28"/>
          <w:szCs w:val="28"/>
        </w:rPr>
      </w:pPr>
    </w:p>
    <w:p w14:paraId="75223F74" w14:textId="77777777" w:rsidR="00165F25" w:rsidRDefault="00165F25" w:rsidP="006A0CEE">
      <w:pPr>
        <w:ind w:left="1829" w:right="1829"/>
        <w:jc w:val="center"/>
        <w:rPr>
          <w:b/>
          <w:bCs/>
          <w:sz w:val="20"/>
          <w:szCs w:val="20"/>
          <w:lang w:val="en-ZA"/>
        </w:rPr>
        <w:sectPr w:rsidR="00165F25" w:rsidSect="006A0CEE">
          <w:headerReference w:type="default" r:id="rId10"/>
          <w:footerReference w:type="default" r:id="rId11"/>
          <w:pgSz w:w="15840" w:h="12240" w:orient="landscape"/>
          <w:pgMar w:top="1440" w:right="1440" w:bottom="1440" w:left="1440" w:header="1829" w:footer="1829" w:gutter="0"/>
          <w:cols w:space="720"/>
          <w:docGrid w:linePitch="360"/>
        </w:sectPr>
      </w:pPr>
    </w:p>
    <w:tbl>
      <w:tblPr>
        <w:tblW w:w="9394" w:type="dxa"/>
        <w:tblInd w:w="-190" w:type="dxa"/>
        <w:tblLook w:val="04A0" w:firstRow="1" w:lastRow="0" w:firstColumn="1" w:lastColumn="0" w:noHBand="0" w:noVBand="1"/>
      </w:tblPr>
      <w:tblGrid>
        <w:gridCol w:w="9394"/>
      </w:tblGrid>
      <w:tr w:rsidR="005E6FDF" w:rsidRPr="006A0CEE" w14:paraId="5ACDC8DC" w14:textId="77777777" w:rsidTr="00BE267B">
        <w:trPr>
          <w:trHeight w:val="6084"/>
        </w:trPr>
        <w:tc>
          <w:tcPr>
            <w:tcW w:w="9394" w:type="dxa"/>
            <w:hideMark/>
          </w:tcPr>
          <w:p w14:paraId="65C9393C" w14:textId="48B5B54F" w:rsidR="006A0CEE" w:rsidRPr="006A0CEE" w:rsidRDefault="006A0CEE" w:rsidP="006A0CEE">
            <w:pPr>
              <w:ind w:left="1829" w:right="1829"/>
              <w:jc w:val="center"/>
              <w:rPr>
                <w:b/>
                <w:bCs/>
                <w:sz w:val="20"/>
                <w:szCs w:val="20"/>
                <w:lang w:val="en-ZA"/>
              </w:rPr>
            </w:pPr>
            <w:r w:rsidRPr="006A0CEE">
              <w:rPr>
                <w:b/>
                <w:bCs/>
                <w:sz w:val="20"/>
                <w:szCs w:val="20"/>
                <w:lang w:val="en-ZA"/>
              </w:rPr>
              <w:lastRenderedPageBreak/>
              <w:t>Article 1: The Ethical Use of Artificial Intelligence</w:t>
            </w:r>
          </w:p>
          <w:p w14:paraId="73A596AC" w14:textId="677F6E81" w:rsidR="006A0CEE" w:rsidRPr="006A0CEE" w:rsidRDefault="006A0CEE" w:rsidP="004A7FBC">
            <w:pPr>
              <w:ind w:left="1829" w:right="1829"/>
              <w:jc w:val="center"/>
              <w:rPr>
                <w:b/>
                <w:bCs/>
                <w:sz w:val="20"/>
                <w:szCs w:val="20"/>
                <w:lang w:val="en-ZA"/>
              </w:rPr>
            </w:pPr>
            <w:r w:rsidRPr="006A0CEE">
              <w:rPr>
                <w:b/>
                <w:bCs/>
                <w:sz w:val="20"/>
                <w:szCs w:val="20"/>
                <w:lang w:val="en-ZA"/>
              </w:rPr>
              <w:t>By Elon Kroeze</w:t>
            </w:r>
          </w:p>
          <w:p w14:paraId="3292498F" w14:textId="1E9C48EA" w:rsidR="006A0CEE" w:rsidRPr="006A0CEE" w:rsidRDefault="006A0CEE" w:rsidP="004A7FBC">
            <w:pPr>
              <w:ind w:left="1829" w:right="1829"/>
              <w:jc w:val="center"/>
              <w:rPr>
                <w:b/>
                <w:bCs/>
                <w:sz w:val="20"/>
                <w:szCs w:val="20"/>
                <w:lang w:val="en-ZA"/>
              </w:rPr>
            </w:pPr>
            <w:r w:rsidRPr="006A0CEE">
              <w:rPr>
                <w:b/>
                <w:bCs/>
                <w:sz w:val="20"/>
                <w:szCs w:val="20"/>
                <w:lang w:val="en-ZA"/>
              </w:rPr>
              <w:t xml:space="preserve">Artificial Intelligence (AI) is rapidly reshaping the modern workplace. From automated recruitment systems and performance monitoring tools to AI-driven decision-making, organisations are increasingly relying on intelligent technologies to improve efficiency and productivity. However, alongside these benefits, the growing use of AI at work has revealed a darker side that raises serious ethical, social, and human concerns. </w:t>
            </w:r>
            <w:r w:rsidRPr="006A0CEE">
              <w:rPr>
                <w:b/>
                <w:bCs/>
                <w:i/>
                <w:iCs/>
                <w:sz w:val="20"/>
                <w:szCs w:val="20"/>
                <w:lang w:val="en-ZA"/>
              </w:rPr>
              <w:t xml:space="preserve"> </w:t>
            </w:r>
          </w:p>
          <w:p w14:paraId="311CBD34" w14:textId="471270CA" w:rsidR="006A0CEE" w:rsidRPr="006A0CEE" w:rsidRDefault="006A0CEE" w:rsidP="004A7FBC">
            <w:pPr>
              <w:ind w:left="1829" w:right="1829"/>
              <w:jc w:val="center"/>
              <w:rPr>
                <w:b/>
                <w:bCs/>
                <w:sz w:val="20"/>
                <w:szCs w:val="20"/>
                <w:lang w:val="en-ZA"/>
              </w:rPr>
            </w:pPr>
            <w:r w:rsidRPr="006A0CEE">
              <w:rPr>
                <w:b/>
                <w:bCs/>
                <w:sz w:val="20"/>
                <w:szCs w:val="20"/>
                <w:lang w:val="en-ZA"/>
              </w:rPr>
              <w:t>Key risks include:</w:t>
            </w:r>
          </w:p>
          <w:p w14:paraId="36934DF5" w14:textId="6CA5F480" w:rsidR="006A0CEE" w:rsidRPr="006A0CEE" w:rsidRDefault="007F4B54" w:rsidP="004A7FBC">
            <w:pPr>
              <w:numPr>
                <w:ilvl w:val="0"/>
                <w:numId w:val="1"/>
              </w:numPr>
              <w:ind w:right="1829"/>
              <w:jc w:val="center"/>
              <w:rPr>
                <w:b/>
                <w:bCs/>
                <w:sz w:val="20"/>
                <w:szCs w:val="20"/>
                <w:lang w:val="en-ZA"/>
              </w:rPr>
            </w:pPr>
            <w:r>
              <w:rPr>
                <w:b/>
                <w:bCs/>
                <w:i/>
                <w:iCs/>
                <w:noProof/>
                <w:sz w:val="20"/>
                <w:szCs w:val="20"/>
                <w:lang w:val="en-ZA"/>
              </w:rPr>
              <w:drawing>
                <wp:anchor distT="0" distB="0" distL="114300" distR="114300" simplePos="0" relativeHeight="251658240" behindDoc="0" locked="0" layoutInCell="1" allowOverlap="1" wp14:anchorId="0ABBF516" wp14:editId="5EA44642">
                  <wp:simplePos x="0" y="0"/>
                  <wp:positionH relativeFrom="column">
                    <wp:posOffset>2823845</wp:posOffset>
                  </wp:positionH>
                  <wp:positionV relativeFrom="page">
                    <wp:posOffset>2733675</wp:posOffset>
                  </wp:positionV>
                  <wp:extent cx="2743200" cy="1762125"/>
                  <wp:effectExtent l="0" t="0" r="0" b="9525"/>
                  <wp:wrapSquare wrapText="bothSides"/>
                  <wp:docPr id="446808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08046" name="Picture 446808046"/>
                          <pic:cNvPicPr/>
                        </pic:nvPicPr>
                        <pic:blipFill rotWithShape="1">
                          <a:blip r:embed="rId12" cstate="print">
                            <a:extLst>
                              <a:ext uri="{28A0092B-C50C-407E-A947-70E740481C1C}">
                                <a14:useLocalDpi xmlns:a14="http://schemas.microsoft.com/office/drawing/2010/main" val="0"/>
                              </a:ext>
                            </a:extLst>
                          </a:blip>
                          <a:srcRect l="-2577" t="35135" b="32432"/>
                          <a:stretch>
                            <a:fillRect/>
                          </a:stretch>
                        </pic:blipFill>
                        <pic:spPr bwMode="auto">
                          <a:xfrm rot="10800000" flipV="1">
                            <a:off x="0" y="0"/>
                            <a:ext cx="2743200" cy="1762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0CEE" w:rsidRPr="006A0CEE">
              <w:rPr>
                <w:b/>
                <w:bCs/>
                <w:sz w:val="20"/>
                <w:szCs w:val="20"/>
                <w:lang w:val="en-ZA"/>
              </w:rPr>
              <w:t>Biases in algorithms, where AI systems unfairly disadvantage certain groups in hiring, promotion, or performance evaluation.</w:t>
            </w:r>
          </w:p>
          <w:p w14:paraId="4C227038" w14:textId="28C473C8" w:rsidR="006A0CEE" w:rsidRPr="006A0CEE" w:rsidRDefault="006A0CEE" w:rsidP="004A7FBC">
            <w:pPr>
              <w:numPr>
                <w:ilvl w:val="0"/>
                <w:numId w:val="1"/>
              </w:numPr>
              <w:ind w:right="1829"/>
              <w:jc w:val="center"/>
              <w:rPr>
                <w:b/>
                <w:bCs/>
                <w:sz w:val="20"/>
                <w:szCs w:val="20"/>
                <w:lang w:val="en-ZA"/>
              </w:rPr>
            </w:pPr>
            <w:r w:rsidRPr="006A0CEE">
              <w:rPr>
                <w:b/>
                <w:bCs/>
                <w:sz w:val="20"/>
                <w:szCs w:val="20"/>
                <w:lang w:val="en-ZA"/>
              </w:rPr>
              <w:t>Job displacement and deskilling, as automation replaces routine tasks and reduces opportunities for meaningful human work.</w:t>
            </w:r>
          </w:p>
          <w:p w14:paraId="6037E15E" w14:textId="2A2DE05C" w:rsidR="006A0CEE" w:rsidRPr="006A0CEE" w:rsidRDefault="006A0CEE" w:rsidP="006A0CEE">
            <w:pPr>
              <w:ind w:left="1829" w:right="1829"/>
              <w:jc w:val="center"/>
              <w:rPr>
                <w:b/>
                <w:bCs/>
                <w:sz w:val="20"/>
                <w:szCs w:val="20"/>
                <w:lang w:val="en-ZA"/>
              </w:rPr>
            </w:pPr>
            <w:r w:rsidRPr="006A0CEE">
              <w:rPr>
                <w:b/>
                <w:bCs/>
                <w:sz w:val="20"/>
                <w:szCs w:val="20"/>
                <w:lang w:val="en-ZA"/>
              </w:rPr>
              <w:t xml:space="preserve">AI has the potential to enhance work and productivity, but if left unchecked, it can deepen inequality, erode trust, </w:t>
            </w:r>
            <w:r w:rsidRPr="006A0CEE">
              <w:rPr>
                <w:b/>
                <w:bCs/>
                <w:sz w:val="20"/>
                <w:szCs w:val="20"/>
                <w:lang w:val="en-ZA"/>
              </w:rPr>
              <w:t>and dehumanise labour. Addressing the dark side of AI in the workplace is essential to ensure that technological progress benefits not only organisations, but also the people who work within them.</w:t>
            </w:r>
          </w:p>
        </w:tc>
      </w:tr>
      <w:tr w:rsidR="005E6FDF" w:rsidRPr="006A0CEE" w14:paraId="35280F3B" w14:textId="77777777" w:rsidTr="00BE267B">
        <w:trPr>
          <w:trHeight w:val="1420"/>
        </w:trPr>
        <w:tc>
          <w:tcPr>
            <w:tcW w:w="9394" w:type="dxa"/>
            <w:hideMark/>
          </w:tcPr>
          <w:p w14:paraId="239F877A" w14:textId="77777777" w:rsidR="006A0CEE" w:rsidRPr="006A0CEE" w:rsidRDefault="006A0CEE" w:rsidP="006A0CEE">
            <w:pPr>
              <w:ind w:left="1829" w:right="1829"/>
              <w:jc w:val="center"/>
              <w:rPr>
                <w:b/>
                <w:bCs/>
                <w:sz w:val="20"/>
                <w:szCs w:val="20"/>
                <w:lang w:val="en-ZA"/>
              </w:rPr>
            </w:pPr>
            <w:r w:rsidRPr="006A0CEE">
              <w:rPr>
                <w:b/>
                <w:bCs/>
                <w:sz w:val="20"/>
                <w:szCs w:val="20"/>
                <w:lang w:val="en-ZA"/>
              </w:rPr>
              <w:lastRenderedPageBreak/>
              <w:t>Article 2: Immersive Learning – Improving Learning Experiences</w:t>
            </w:r>
          </w:p>
          <w:p w14:paraId="5F8A29BD" w14:textId="2CF0EBAA" w:rsidR="00322600" w:rsidRPr="005E6FDF" w:rsidRDefault="006A0CEE" w:rsidP="005E6FDF">
            <w:pPr>
              <w:ind w:left="1829" w:right="1829"/>
              <w:jc w:val="center"/>
              <w:rPr>
                <w:b/>
                <w:bCs/>
                <w:sz w:val="20"/>
                <w:szCs w:val="20"/>
                <w:lang w:val="en-ZA"/>
              </w:rPr>
            </w:pPr>
            <w:r w:rsidRPr="006A0CEE">
              <w:rPr>
                <w:b/>
                <w:bCs/>
                <w:sz w:val="20"/>
                <w:szCs w:val="20"/>
                <w:lang w:val="en-ZA"/>
              </w:rPr>
              <w:t>By Julias Phiri</w:t>
            </w:r>
          </w:p>
          <w:p w14:paraId="30BB08E8" w14:textId="4C572A8F" w:rsidR="00322600" w:rsidRDefault="00322600" w:rsidP="006A0CEE">
            <w:pPr>
              <w:ind w:left="1829" w:right="1829"/>
              <w:jc w:val="center"/>
              <w:rPr>
                <w:b/>
                <w:bCs/>
                <w:sz w:val="20"/>
                <w:szCs w:val="20"/>
                <w:lang w:val="en-ZA"/>
              </w:rPr>
            </w:pPr>
            <w:r>
              <w:rPr>
                <w:b/>
                <w:bCs/>
                <w:noProof/>
                <w:sz w:val="20"/>
                <w:szCs w:val="20"/>
                <w:lang w:val="en-ZA"/>
              </w:rPr>
              <w:drawing>
                <wp:inline distT="0" distB="0" distL="0" distR="0" wp14:anchorId="47087F99" wp14:editId="08761710">
                  <wp:extent cx="3114675" cy="2384043"/>
                  <wp:effectExtent l="0" t="0" r="0" b="0"/>
                  <wp:docPr id="17523488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48853" name="Picture 1752348853"/>
                          <pic:cNvPicPr/>
                        </pic:nvPicPr>
                        <pic:blipFill>
                          <a:blip r:embed="rId13">
                            <a:extLst>
                              <a:ext uri="{28A0092B-C50C-407E-A947-70E740481C1C}">
                                <a14:useLocalDpi xmlns:a14="http://schemas.microsoft.com/office/drawing/2010/main" val="0"/>
                              </a:ext>
                            </a:extLst>
                          </a:blip>
                          <a:stretch>
                            <a:fillRect/>
                          </a:stretch>
                        </pic:blipFill>
                        <pic:spPr>
                          <a:xfrm flipH="1">
                            <a:off x="0" y="0"/>
                            <a:ext cx="3363977" cy="2574864"/>
                          </a:xfrm>
                          <a:prstGeom prst="rect">
                            <a:avLst/>
                          </a:prstGeom>
                        </pic:spPr>
                      </pic:pic>
                    </a:graphicData>
                  </a:graphic>
                </wp:inline>
              </w:drawing>
            </w:r>
          </w:p>
          <w:p w14:paraId="595FE9CA" w14:textId="77777777" w:rsidR="00322600" w:rsidRDefault="00322600" w:rsidP="006A0CEE">
            <w:pPr>
              <w:ind w:left="1829" w:right="1829"/>
              <w:jc w:val="center"/>
              <w:rPr>
                <w:b/>
                <w:bCs/>
                <w:sz w:val="20"/>
                <w:szCs w:val="20"/>
                <w:lang w:val="en-ZA"/>
              </w:rPr>
            </w:pPr>
          </w:p>
          <w:p w14:paraId="3624C86B" w14:textId="77777777" w:rsidR="00322600" w:rsidRDefault="00322600" w:rsidP="006A0CEE">
            <w:pPr>
              <w:ind w:left="1829" w:right="1829"/>
              <w:jc w:val="center"/>
              <w:rPr>
                <w:b/>
                <w:bCs/>
                <w:sz w:val="20"/>
                <w:szCs w:val="20"/>
                <w:lang w:val="en-ZA"/>
              </w:rPr>
            </w:pPr>
          </w:p>
          <w:p w14:paraId="1F8D675F" w14:textId="77777777" w:rsidR="00322600" w:rsidRDefault="00322600" w:rsidP="006A0CEE">
            <w:pPr>
              <w:ind w:left="1829" w:right="1829"/>
              <w:jc w:val="center"/>
              <w:rPr>
                <w:b/>
                <w:bCs/>
                <w:sz w:val="20"/>
                <w:szCs w:val="20"/>
                <w:lang w:val="en-ZA"/>
              </w:rPr>
            </w:pPr>
          </w:p>
          <w:p w14:paraId="79103BDC" w14:textId="77777777" w:rsidR="00322600" w:rsidRDefault="00322600" w:rsidP="006A0CEE">
            <w:pPr>
              <w:ind w:left="1829" w:right="1829"/>
              <w:jc w:val="center"/>
              <w:rPr>
                <w:b/>
                <w:bCs/>
                <w:sz w:val="20"/>
                <w:szCs w:val="20"/>
                <w:lang w:val="en-ZA"/>
              </w:rPr>
            </w:pPr>
          </w:p>
          <w:p w14:paraId="5D719678" w14:textId="77777777" w:rsidR="00322600" w:rsidRDefault="00322600" w:rsidP="006A0CEE">
            <w:pPr>
              <w:ind w:left="1829" w:right="1829"/>
              <w:jc w:val="center"/>
              <w:rPr>
                <w:b/>
                <w:bCs/>
                <w:sz w:val="20"/>
                <w:szCs w:val="20"/>
                <w:lang w:val="en-ZA"/>
              </w:rPr>
            </w:pPr>
          </w:p>
          <w:p w14:paraId="2F487F10" w14:textId="77777777" w:rsidR="00322600" w:rsidRDefault="00322600" w:rsidP="006A0CEE">
            <w:pPr>
              <w:ind w:left="1829" w:right="1829"/>
              <w:jc w:val="center"/>
              <w:rPr>
                <w:b/>
                <w:bCs/>
                <w:sz w:val="20"/>
                <w:szCs w:val="20"/>
                <w:lang w:val="en-ZA"/>
              </w:rPr>
            </w:pPr>
          </w:p>
          <w:p w14:paraId="187C4092" w14:textId="77777777" w:rsidR="00322600" w:rsidRDefault="00322600" w:rsidP="002C73C5">
            <w:pPr>
              <w:ind w:right="1829"/>
              <w:rPr>
                <w:b/>
                <w:bCs/>
                <w:sz w:val="20"/>
                <w:szCs w:val="20"/>
                <w:lang w:val="en-ZA"/>
              </w:rPr>
            </w:pPr>
          </w:p>
          <w:p w14:paraId="06C2CFF9" w14:textId="7587265A" w:rsidR="006A0CEE" w:rsidRPr="006A0CEE" w:rsidRDefault="006A0CEE" w:rsidP="000511C4">
            <w:pPr>
              <w:spacing w:line="480" w:lineRule="auto"/>
              <w:ind w:right="1829"/>
              <w:rPr>
                <w:b/>
                <w:bCs/>
                <w:sz w:val="20"/>
                <w:szCs w:val="20"/>
                <w:lang w:val="en-ZA"/>
              </w:rPr>
            </w:pPr>
            <w:r w:rsidRPr="006A0CEE">
              <w:rPr>
                <w:b/>
                <w:bCs/>
                <w:sz w:val="20"/>
                <w:szCs w:val="20"/>
                <w:lang w:val="en-ZA"/>
              </w:rPr>
              <w:t xml:space="preserve">Immersive learning has rapidly emerged as a powerful evolution of e-learning in modern education. Through technologies such as virtual reality (VR), augmented reality (AR), simulations, and interactive digital environments, students can now move beyond passive content consumption to </w:t>
            </w:r>
            <w:r w:rsidRPr="006A0CEE">
              <w:rPr>
                <w:b/>
                <w:bCs/>
                <w:i/>
                <w:iCs/>
                <w:sz w:val="20"/>
                <w:szCs w:val="20"/>
                <w:lang w:val="en-ZA"/>
              </w:rPr>
              <w:t>actively experiencing</w:t>
            </w:r>
            <w:r w:rsidRPr="006A0CEE">
              <w:rPr>
                <w:b/>
                <w:bCs/>
                <w:sz w:val="20"/>
                <w:szCs w:val="20"/>
                <w:lang w:val="en-ZA"/>
              </w:rPr>
              <w:t xml:space="preserve"> learning. With a suitable device and internet access, learners across the globe can engage with rich, experiential educational content without being physically present in a classroom.</w:t>
            </w:r>
          </w:p>
          <w:p w14:paraId="7AB14983" w14:textId="77777777" w:rsidR="006A0CEE" w:rsidRPr="006A0CEE" w:rsidRDefault="006A0CEE" w:rsidP="000511C4">
            <w:pPr>
              <w:spacing w:line="480" w:lineRule="auto"/>
              <w:ind w:right="1829"/>
              <w:rPr>
                <w:b/>
                <w:bCs/>
                <w:sz w:val="20"/>
                <w:szCs w:val="20"/>
                <w:lang w:val="en-ZA"/>
              </w:rPr>
            </w:pPr>
            <w:r w:rsidRPr="006A0CEE">
              <w:rPr>
                <w:b/>
                <w:bCs/>
                <w:sz w:val="20"/>
                <w:szCs w:val="20"/>
                <w:lang w:val="en-ZA"/>
              </w:rPr>
              <w:t>How Immersive Learning Is Transforming Education:</w:t>
            </w:r>
          </w:p>
          <w:p w14:paraId="7E5E206B" w14:textId="77777777" w:rsidR="006A0CEE" w:rsidRPr="006A0CEE" w:rsidRDefault="006A0CEE" w:rsidP="000511C4">
            <w:pPr>
              <w:numPr>
                <w:ilvl w:val="0"/>
                <w:numId w:val="2"/>
              </w:numPr>
              <w:spacing w:line="480" w:lineRule="auto"/>
              <w:ind w:left="0" w:right="1829"/>
              <w:rPr>
                <w:b/>
                <w:bCs/>
                <w:sz w:val="20"/>
                <w:szCs w:val="20"/>
              </w:rPr>
            </w:pPr>
            <w:r w:rsidRPr="006A0CEE">
              <w:rPr>
                <w:b/>
                <w:bCs/>
                <w:sz w:val="20"/>
                <w:szCs w:val="20"/>
              </w:rPr>
              <w:t>Learners participate in realistic simulations, virtual laboratories, and interactive 3D environments that enhance understanding and retention.</w:t>
            </w:r>
          </w:p>
          <w:p w14:paraId="7C0EB68F" w14:textId="77777777" w:rsidR="006A0CEE" w:rsidRPr="006A0CEE" w:rsidRDefault="006A0CEE" w:rsidP="000511C4">
            <w:pPr>
              <w:numPr>
                <w:ilvl w:val="0"/>
                <w:numId w:val="2"/>
              </w:numPr>
              <w:spacing w:line="480" w:lineRule="auto"/>
              <w:ind w:left="0" w:right="1829"/>
              <w:rPr>
                <w:b/>
                <w:bCs/>
                <w:sz w:val="20"/>
                <w:szCs w:val="20"/>
              </w:rPr>
            </w:pPr>
            <w:r w:rsidRPr="006A0CEE">
              <w:rPr>
                <w:b/>
                <w:bCs/>
                <w:sz w:val="20"/>
                <w:szCs w:val="20"/>
              </w:rPr>
              <w:lastRenderedPageBreak/>
              <w:t xml:space="preserve">Educators integrate immersive tools into platforms such as </w:t>
            </w:r>
            <w:r w:rsidRPr="006A0CEE">
              <w:rPr>
                <w:b/>
                <w:bCs/>
                <w:i/>
                <w:iCs/>
                <w:sz w:val="20"/>
                <w:szCs w:val="20"/>
              </w:rPr>
              <w:t>Moodle</w:t>
            </w:r>
            <w:r w:rsidRPr="006A0CEE">
              <w:rPr>
                <w:b/>
                <w:bCs/>
                <w:sz w:val="20"/>
                <w:szCs w:val="20"/>
              </w:rPr>
              <w:t xml:space="preserve">, </w:t>
            </w:r>
            <w:r w:rsidRPr="006A0CEE">
              <w:rPr>
                <w:b/>
                <w:bCs/>
                <w:i/>
                <w:iCs/>
                <w:sz w:val="20"/>
                <w:szCs w:val="20"/>
              </w:rPr>
              <w:t>Microsoft Teams</w:t>
            </w:r>
            <w:r w:rsidRPr="006A0CEE">
              <w:rPr>
                <w:b/>
                <w:bCs/>
                <w:sz w:val="20"/>
                <w:szCs w:val="20"/>
              </w:rPr>
              <w:t xml:space="preserve">, and </w:t>
            </w:r>
            <w:r w:rsidRPr="006A0CEE">
              <w:rPr>
                <w:b/>
                <w:bCs/>
                <w:i/>
                <w:iCs/>
                <w:sz w:val="20"/>
                <w:szCs w:val="20"/>
              </w:rPr>
              <w:t>Google Classroom</w:t>
            </w:r>
            <w:r w:rsidRPr="006A0CEE">
              <w:rPr>
                <w:b/>
                <w:bCs/>
                <w:sz w:val="20"/>
                <w:szCs w:val="20"/>
              </w:rPr>
              <w:t xml:space="preserve"> to support experiential activities, assessments, and collaborative learning.</w:t>
            </w:r>
          </w:p>
          <w:p w14:paraId="5B7E785E" w14:textId="77777777" w:rsidR="006A0CEE" w:rsidRPr="006A0CEE" w:rsidRDefault="006A0CEE" w:rsidP="000511C4">
            <w:pPr>
              <w:numPr>
                <w:ilvl w:val="0"/>
                <w:numId w:val="2"/>
              </w:numPr>
              <w:spacing w:line="480" w:lineRule="auto"/>
              <w:ind w:right="1829"/>
              <w:jc w:val="center"/>
              <w:rPr>
                <w:b/>
                <w:bCs/>
                <w:sz w:val="20"/>
                <w:szCs w:val="20"/>
              </w:rPr>
            </w:pPr>
            <w:r w:rsidRPr="006A0CEE">
              <w:rPr>
                <w:b/>
                <w:bCs/>
                <w:sz w:val="20"/>
                <w:szCs w:val="20"/>
              </w:rPr>
              <w:t>Working professionals and students develop practical, job-ready skills through virtual training scenarios, remote labs, and immersive micro-credentials, often at their own pace.</w:t>
            </w:r>
          </w:p>
          <w:p w14:paraId="20EC8674" w14:textId="77777777" w:rsidR="006A0CEE" w:rsidRDefault="006A0CEE" w:rsidP="000511C4">
            <w:pPr>
              <w:spacing w:line="480" w:lineRule="auto"/>
              <w:ind w:left="1829" w:right="1829"/>
              <w:jc w:val="center"/>
              <w:rPr>
                <w:b/>
                <w:bCs/>
                <w:sz w:val="20"/>
                <w:szCs w:val="20"/>
                <w:lang w:val="en-ZA"/>
              </w:rPr>
            </w:pPr>
            <w:r w:rsidRPr="006A0CEE">
              <w:rPr>
                <w:b/>
                <w:bCs/>
                <w:sz w:val="20"/>
                <w:szCs w:val="20"/>
                <w:lang w:val="en-ZA"/>
              </w:rPr>
              <w:t>The flexibility, accessibility, and experiential nature of immersive learning make it especially valuable in contexts where access to physical resources, laboratories, or face-to-face instruction is limited. As immersive technologies continue to advance, they are reshaping teaching and learning into more engaging, inclusive, and impactful experiences, bridging the gap between theory and practice in digital education.</w:t>
            </w:r>
          </w:p>
          <w:p w14:paraId="1DDCA80F" w14:textId="77777777" w:rsidR="00030D9C" w:rsidRPr="006A0CEE" w:rsidRDefault="00030D9C" w:rsidP="006A0CEE">
            <w:pPr>
              <w:ind w:left="1829" w:right="1829"/>
              <w:jc w:val="center"/>
              <w:rPr>
                <w:b/>
                <w:bCs/>
                <w:sz w:val="20"/>
                <w:szCs w:val="20"/>
                <w:lang w:val="en-ZA"/>
              </w:rPr>
            </w:pPr>
          </w:p>
        </w:tc>
      </w:tr>
    </w:tbl>
    <w:p w14:paraId="3DE94DCF" w14:textId="77777777" w:rsidR="00165F25" w:rsidRDefault="00165F25" w:rsidP="004E57ED">
      <w:pPr>
        <w:ind w:left="1829" w:right="1829"/>
        <w:jc w:val="center"/>
        <w:rPr>
          <w:b/>
          <w:bCs/>
          <w:sz w:val="28"/>
          <w:szCs w:val="28"/>
        </w:rPr>
        <w:sectPr w:rsidR="00165F25" w:rsidSect="00165F25">
          <w:type w:val="continuous"/>
          <w:pgSz w:w="15840" w:h="12240" w:orient="landscape"/>
          <w:pgMar w:top="720" w:right="720" w:bottom="720" w:left="720" w:header="1829" w:footer="1829" w:gutter="0"/>
          <w:cols w:num="2" w:space="720"/>
          <w:docGrid w:linePitch="360"/>
        </w:sectPr>
      </w:pPr>
    </w:p>
    <w:p w14:paraId="3A101D99" w14:textId="670941A5" w:rsidR="006A0CEE" w:rsidRDefault="006A0CEE" w:rsidP="004E57ED">
      <w:pPr>
        <w:ind w:left="1829" w:right="1829"/>
        <w:jc w:val="center"/>
        <w:rPr>
          <w:b/>
          <w:bCs/>
          <w:sz w:val="28"/>
          <w:szCs w:val="28"/>
        </w:rPr>
      </w:pPr>
    </w:p>
    <w:p w14:paraId="2A6AD7D4" w14:textId="00FD0C14" w:rsidR="00485BEA" w:rsidRPr="00485BEA" w:rsidRDefault="00485BEA" w:rsidP="00485BEA">
      <w:pPr>
        <w:ind w:right="1152"/>
        <w:jc w:val="center"/>
        <w:rPr>
          <w:b/>
          <w:bCs/>
          <w:sz w:val="28"/>
          <w:szCs w:val="28"/>
          <w:u w:val="single"/>
          <w:lang w:val="en-ZA"/>
        </w:rPr>
      </w:pPr>
      <w:r w:rsidRPr="00485BEA">
        <w:rPr>
          <w:b/>
          <w:bCs/>
          <w:sz w:val="28"/>
          <w:szCs w:val="28"/>
          <w:u w:val="single"/>
          <w:lang w:val="en-ZA"/>
        </w:rPr>
        <w:t>Sidebar Content</w:t>
      </w:r>
    </w:p>
    <w:p w14:paraId="5FE6B129" w14:textId="77777777" w:rsidR="00485BEA" w:rsidRPr="00485BEA" w:rsidRDefault="00485BEA" w:rsidP="00485BEA">
      <w:pPr>
        <w:ind w:right="1152"/>
        <w:jc w:val="center"/>
        <w:rPr>
          <w:b/>
          <w:bCs/>
          <w:sz w:val="28"/>
          <w:szCs w:val="28"/>
          <w:lang w:val="en-ZA"/>
        </w:rPr>
      </w:pPr>
      <w:r w:rsidRPr="00485BEA">
        <w:rPr>
          <w:rFonts w:ascii="Segoe UI Emoji" w:hAnsi="Segoe UI Emoji" w:cs="Segoe UI Emoji"/>
          <w:b/>
          <w:bCs/>
          <w:sz w:val="28"/>
          <w:szCs w:val="28"/>
          <w:lang w:val="en-ZA"/>
        </w:rPr>
        <w:t>📢</w:t>
      </w:r>
      <w:r w:rsidRPr="00485BEA">
        <w:rPr>
          <w:b/>
          <w:bCs/>
          <w:sz w:val="28"/>
          <w:szCs w:val="28"/>
          <w:lang w:val="en-ZA"/>
        </w:rPr>
        <w:t xml:space="preserve"> Did You Know? The Future of Technology Is Already Here</w:t>
      </w:r>
    </w:p>
    <w:p w14:paraId="3027673C" w14:textId="77777777" w:rsidR="00485BEA" w:rsidRPr="00485BEA" w:rsidRDefault="00485BEA" w:rsidP="00485BEA">
      <w:pPr>
        <w:numPr>
          <w:ilvl w:val="0"/>
          <w:numId w:val="3"/>
        </w:numPr>
        <w:ind w:left="0" w:right="1152"/>
        <w:jc w:val="center"/>
        <w:rPr>
          <w:b/>
          <w:bCs/>
          <w:sz w:val="28"/>
          <w:szCs w:val="28"/>
          <w:lang w:val="en-ZA"/>
        </w:rPr>
      </w:pPr>
      <w:r w:rsidRPr="00485BEA">
        <w:rPr>
          <w:rFonts w:ascii="Segoe UI Emoji" w:hAnsi="Segoe UI Emoji" w:cs="Segoe UI Emoji"/>
          <w:b/>
          <w:bCs/>
          <w:sz w:val="28"/>
          <w:szCs w:val="28"/>
          <w:lang w:val="en-ZA"/>
        </w:rPr>
        <w:t>🤖</w:t>
      </w:r>
      <w:r w:rsidRPr="00485BEA">
        <w:rPr>
          <w:b/>
          <w:bCs/>
          <w:sz w:val="28"/>
          <w:szCs w:val="28"/>
          <w:lang w:val="en-ZA"/>
        </w:rPr>
        <w:t xml:space="preserve"> Artificial Intelligence is moving from task automation to decision support, creativity, and personalised digital assistants.</w:t>
      </w:r>
    </w:p>
    <w:p w14:paraId="72B02D81" w14:textId="77777777" w:rsidR="00485BEA" w:rsidRPr="00485BEA" w:rsidRDefault="00485BEA" w:rsidP="00485BEA">
      <w:pPr>
        <w:numPr>
          <w:ilvl w:val="0"/>
          <w:numId w:val="3"/>
        </w:numPr>
        <w:ind w:left="0" w:right="1152"/>
        <w:jc w:val="center"/>
        <w:rPr>
          <w:b/>
          <w:bCs/>
          <w:sz w:val="28"/>
          <w:szCs w:val="28"/>
          <w:lang w:val="en-ZA"/>
        </w:rPr>
      </w:pPr>
      <w:r w:rsidRPr="00485BEA">
        <w:rPr>
          <w:rFonts w:ascii="Segoe UI Emoji" w:hAnsi="Segoe UI Emoji" w:cs="Segoe UI Emoji"/>
          <w:b/>
          <w:bCs/>
          <w:sz w:val="28"/>
          <w:szCs w:val="28"/>
          <w:lang w:val="en-ZA"/>
        </w:rPr>
        <w:lastRenderedPageBreak/>
        <w:t>🌐</w:t>
      </w:r>
      <w:r w:rsidRPr="00485BEA">
        <w:rPr>
          <w:b/>
          <w:bCs/>
          <w:sz w:val="28"/>
          <w:szCs w:val="28"/>
          <w:lang w:val="en-ZA"/>
        </w:rPr>
        <w:t xml:space="preserve"> The Metaverse and immersive technologies (VR/AR/XR) are shaping how we learn, work, and collaborate remotely.</w:t>
      </w:r>
    </w:p>
    <w:p w14:paraId="6BCE9D5B" w14:textId="77777777" w:rsidR="00485BEA" w:rsidRPr="00485BEA" w:rsidRDefault="00485BEA" w:rsidP="00485BEA">
      <w:pPr>
        <w:numPr>
          <w:ilvl w:val="0"/>
          <w:numId w:val="3"/>
        </w:numPr>
        <w:ind w:left="0" w:right="1152"/>
        <w:jc w:val="center"/>
        <w:rPr>
          <w:b/>
          <w:bCs/>
          <w:sz w:val="28"/>
          <w:szCs w:val="28"/>
          <w:lang w:val="en-ZA"/>
        </w:rPr>
      </w:pPr>
      <w:r w:rsidRPr="00485BEA">
        <w:rPr>
          <w:rFonts w:ascii="Segoe UI Emoji" w:hAnsi="Segoe UI Emoji" w:cs="Segoe UI Emoji"/>
          <w:b/>
          <w:bCs/>
          <w:sz w:val="28"/>
          <w:szCs w:val="28"/>
          <w:lang w:val="en-ZA"/>
        </w:rPr>
        <w:t>🧠</w:t>
      </w:r>
      <w:r w:rsidRPr="00485BEA">
        <w:rPr>
          <w:b/>
          <w:bCs/>
          <w:sz w:val="28"/>
          <w:szCs w:val="28"/>
          <w:lang w:val="en-ZA"/>
        </w:rPr>
        <w:t xml:space="preserve"> Brain–computer interfaces and wearable technologies are opening new possibilities for healthcare, accessibility, and human–machine interaction.</w:t>
      </w:r>
    </w:p>
    <w:p w14:paraId="707790AF" w14:textId="77777777" w:rsidR="00485BEA" w:rsidRPr="00485BEA" w:rsidRDefault="00485BEA" w:rsidP="00485BEA">
      <w:pPr>
        <w:numPr>
          <w:ilvl w:val="0"/>
          <w:numId w:val="3"/>
        </w:numPr>
        <w:ind w:left="0" w:right="1152"/>
        <w:jc w:val="center"/>
        <w:rPr>
          <w:b/>
          <w:bCs/>
          <w:sz w:val="28"/>
          <w:szCs w:val="28"/>
          <w:lang w:val="en-ZA"/>
        </w:rPr>
      </w:pPr>
      <w:r w:rsidRPr="00485BEA">
        <w:rPr>
          <w:rFonts w:ascii="Segoe UI Emoji" w:hAnsi="Segoe UI Emoji" w:cs="Segoe UI Emoji"/>
          <w:b/>
          <w:bCs/>
          <w:sz w:val="28"/>
          <w:szCs w:val="28"/>
          <w:lang w:val="en-ZA"/>
        </w:rPr>
        <w:t>🌱</w:t>
      </w:r>
      <w:r w:rsidRPr="00485BEA">
        <w:rPr>
          <w:b/>
          <w:bCs/>
          <w:sz w:val="28"/>
          <w:szCs w:val="28"/>
          <w:lang w:val="en-ZA"/>
        </w:rPr>
        <w:t xml:space="preserve"> Green technologies and AI-driven sustainability tools are playing a growing role in tackling climate and energy challenges.</w:t>
      </w:r>
    </w:p>
    <w:p w14:paraId="35F687AE" w14:textId="77777777" w:rsidR="00485BEA" w:rsidRPr="00485BEA" w:rsidRDefault="00485BEA" w:rsidP="00485BEA">
      <w:pPr>
        <w:ind w:right="1152"/>
        <w:jc w:val="center"/>
        <w:rPr>
          <w:b/>
          <w:bCs/>
          <w:sz w:val="28"/>
          <w:szCs w:val="28"/>
          <w:lang w:val="en-ZA"/>
        </w:rPr>
      </w:pPr>
      <w:r w:rsidRPr="00485BEA">
        <w:rPr>
          <w:rFonts w:ascii="Segoe UI Emoji" w:hAnsi="Segoe UI Emoji" w:cs="Segoe UI Emoji"/>
          <w:b/>
          <w:bCs/>
          <w:sz w:val="28"/>
          <w:szCs w:val="28"/>
          <w:lang w:val="en-ZA"/>
        </w:rPr>
        <w:t>📅</w:t>
      </w:r>
      <w:r w:rsidRPr="00485BEA">
        <w:rPr>
          <w:b/>
          <w:bCs/>
          <w:sz w:val="28"/>
          <w:szCs w:val="28"/>
          <w:lang w:val="en-ZA"/>
        </w:rPr>
        <w:t xml:space="preserve"> Upcoming Future Tech Events</w:t>
      </w:r>
      <w:r w:rsidRPr="00485BEA">
        <w:rPr>
          <w:b/>
          <w:bCs/>
          <w:sz w:val="28"/>
          <w:szCs w:val="28"/>
          <w:lang w:val="en-ZA"/>
        </w:rPr>
        <w:br/>
      </w:r>
      <w:r w:rsidRPr="00485BEA">
        <w:rPr>
          <w:rFonts w:ascii="Segoe UI Emoji" w:hAnsi="Segoe UI Emoji" w:cs="Segoe UI Emoji"/>
          <w:b/>
          <w:bCs/>
          <w:sz w:val="28"/>
          <w:szCs w:val="28"/>
          <w:lang w:val="en-ZA"/>
        </w:rPr>
        <w:t>📌</w:t>
      </w:r>
      <w:r w:rsidRPr="00485BEA">
        <w:rPr>
          <w:b/>
          <w:bCs/>
          <w:sz w:val="28"/>
          <w:szCs w:val="28"/>
          <w:lang w:val="en-ZA"/>
        </w:rPr>
        <w:t xml:space="preserve"> FutureTech Africa Summit – April 18, 2026 | Johannesburg, South Africa</w:t>
      </w:r>
      <w:r w:rsidRPr="00485BEA">
        <w:rPr>
          <w:b/>
          <w:bCs/>
          <w:sz w:val="28"/>
          <w:szCs w:val="28"/>
          <w:lang w:val="en-ZA"/>
        </w:rPr>
        <w:br/>
      </w:r>
      <w:r w:rsidRPr="00485BEA">
        <w:rPr>
          <w:rFonts w:ascii="Segoe UI Emoji" w:hAnsi="Segoe UI Emoji" w:cs="Segoe UI Emoji"/>
          <w:b/>
          <w:bCs/>
          <w:sz w:val="28"/>
          <w:szCs w:val="28"/>
          <w:lang w:val="en-ZA"/>
        </w:rPr>
        <w:t>📌</w:t>
      </w:r>
      <w:r w:rsidRPr="00485BEA">
        <w:rPr>
          <w:b/>
          <w:bCs/>
          <w:sz w:val="28"/>
          <w:szCs w:val="28"/>
          <w:lang w:val="en-ZA"/>
        </w:rPr>
        <w:t xml:space="preserve"> Global AI &amp; Ethics Forum – July 22, 2026 | Online</w:t>
      </w:r>
      <w:r w:rsidRPr="00485BEA">
        <w:rPr>
          <w:b/>
          <w:bCs/>
          <w:sz w:val="28"/>
          <w:szCs w:val="28"/>
          <w:lang w:val="en-ZA"/>
        </w:rPr>
        <w:br/>
      </w:r>
      <w:r w:rsidRPr="00485BEA">
        <w:rPr>
          <w:rFonts w:ascii="Segoe UI Emoji" w:hAnsi="Segoe UI Emoji" w:cs="Segoe UI Emoji"/>
          <w:b/>
          <w:bCs/>
          <w:sz w:val="28"/>
          <w:szCs w:val="28"/>
          <w:lang w:val="en-ZA"/>
        </w:rPr>
        <w:t>📌</w:t>
      </w:r>
      <w:r w:rsidRPr="00485BEA">
        <w:rPr>
          <w:b/>
          <w:bCs/>
          <w:sz w:val="28"/>
          <w:szCs w:val="28"/>
          <w:lang w:val="en-ZA"/>
        </w:rPr>
        <w:t xml:space="preserve"> Immersive Technologies in Education Conference – October 5, 2026 | Singapore</w:t>
      </w:r>
    </w:p>
    <w:p w14:paraId="4DBFECA9" w14:textId="06C5005C" w:rsidR="00485BEA" w:rsidRPr="00485BEA" w:rsidRDefault="00485BEA" w:rsidP="00485BEA">
      <w:pPr>
        <w:ind w:right="1152"/>
        <w:jc w:val="center"/>
        <w:rPr>
          <w:b/>
          <w:bCs/>
          <w:sz w:val="28"/>
          <w:szCs w:val="28"/>
          <w:lang w:val="en-ZA"/>
        </w:rPr>
      </w:pPr>
      <w:r w:rsidRPr="00485BEA">
        <w:rPr>
          <w:b/>
          <w:bCs/>
          <w:sz w:val="28"/>
          <w:szCs w:val="28"/>
          <w:lang w:val="en-ZA"/>
        </w:rPr>
        <w:t>The future of technology is not just about smarter machines — it’s about how humans adapt, learn, and thrive alongside them.</w:t>
      </w:r>
    </w:p>
    <w:p w14:paraId="60A5C075" w14:textId="77777777" w:rsidR="004E57ED" w:rsidRDefault="004E57ED" w:rsidP="00485BEA">
      <w:pPr>
        <w:ind w:right="1152"/>
        <w:jc w:val="center"/>
        <w:rPr>
          <w:b/>
          <w:bCs/>
          <w:sz w:val="28"/>
          <w:szCs w:val="28"/>
        </w:rPr>
      </w:pPr>
    </w:p>
    <w:p w14:paraId="7BCF3664" w14:textId="77777777" w:rsidR="004E57ED" w:rsidRPr="004E57ED" w:rsidRDefault="004E57ED" w:rsidP="004E57ED">
      <w:pPr>
        <w:ind w:left="1829" w:right="1829"/>
        <w:jc w:val="center"/>
        <w:rPr>
          <w:b/>
          <w:bCs/>
          <w:sz w:val="28"/>
          <w:szCs w:val="28"/>
        </w:rPr>
      </w:pPr>
    </w:p>
    <w:p w14:paraId="7AE6B6E5" w14:textId="77777777" w:rsidR="004E57ED" w:rsidRPr="004E57ED" w:rsidRDefault="004E57ED" w:rsidP="004E57ED">
      <w:pPr>
        <w:ind w:left="1829" w:right="1829"/>
        <w:rPr>
          <w:b/>
          <w:bCs/>
          <w:sz w:val="28"/>
          <w:szCs w:val="28"/>
        </w:rPr>
      </w:pPr>
    </w:p>
    <w:sectPr w:rsidR="004E57ED" w:rsidRPr="004E57ED" w:rsidSect="007A1B7F">
      <w:type w:val="continuous"/>
      <w:pgSz w:w="15840" w:h="12240" w:orient="landscape"/>
      <w:pgMar w:top="1440" w:right="1829" w:bottom="1440" w:left="1829" w:header="1829" w:footer="18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BBCB" w14:textId="77777777" w:rsidR="00356E1D" w:rsidRDefault="00356E1D" w:rsidP="004E57ED">
      <w:pPr>
        <w:spacing w:after="0" w:line="240" w:lineRule="auto"/>
      </w:pPr>
      <w:r>
        <w:separator/>
      </w:r>
    </w:p>
  </w:endnote>
  <w:endnote w:type="continuationSeparator" w:id="0">
    <w:p w14:paraId="3BACC560" w14:textId="77777777" w:rsidR="00356E1D" w:rsidRDefault="00356E1D" w:rsidP="004E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654FD6C04395468492D4AA77BB2A6C18"/>
      </w:placeholder>
      <w:temporary/>
      <w:showingPlcHdr/>
      <w15:appearance w15:val="hidden"/>
    </w:sdtPr>
    <w:sdtEndPr/>
    <w:sdtContent>
      <w:p w14:paraId="2F099296" w14:textId="77777777" w:rsidR="004E57ED" w:rsidRDefault="004E57ED">
        <w:pPr>
          <w:pStyle w:val="Footer"/>
        </w:pPr>
        <w:r>
          <w:t>[Type here]</w:t>
        </w:r>
      </w:p>
    </w:sdtContent>
  </w:sdt>
  <w:p w14:paraId="0B1DBDC8" w14:textId="683AD0DB" w:rsidR="004E57ED" w:rsidRDefault="004E57ED">
    <w:pPr>
      <w:pStyle w:val="Footer"/>
    </w:pPr>
    <w:r>
      <w:t>11778735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1C6D" w14:textId="77777777" w:rsidR="00356E1D" w:rsidRDefault="00356E1D" w:rsidP="004E57ED">
      <w:pPr>
        <w:spacing w:after="0" w:line="240" w:lineRule="auto"/>
      </w:pPr>
      <w:r>
        <w:separator/>
      </w:r>
    </w:p>
  </w:footnote>
  <w:footnote w:type="continuationSeparator" w:id="0">
    <w:p w14:paraId="15F9D7EB" w14:textId="77777777" w:rsidR="00356E1D" w:rsidRDefault="00356E1D" w:rsidP="004E5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B390" w14:textId="0C5EBD67" w:rsidR="006A0CEE" w:rsidRDefault="006A0CEE">
    <w:pPr>
      <w:pStyle w:val="Header"/>
    </w:pPr>
    <w:r>
      <w:t>TECH INNOVATIONS</w:t>
    </w:r>
    <w:sdt>
      <w:sdtPr>
        <w:id w:val="968752352"/>
        <w:placeholder>
          <w:docPart w:val="A03939B408E54141A2D8289E4E52C1DF"/>
        </w:placeholder>
        <w:temporary/>
        <w:showingPlcHdr/>
        <w15:appearance w15:val="hidden"/>
      </w:sdtPr>
      <w:sdtEndPr/>
      <w:sdtContent>
        <w:r>
          <w:t>[Type here]</w:t>
        </w:r>
      </w:sdtContent>
    </w:sdt>
  </w:p>
  <w:p w14:paraId="34EE9383" w14:textId="77777777" w:rsidR="004E57ED" w:rsidRDefault="004E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F4D"/>
    <w:multiLevelType w:val="multilevel"/>
    <w:tmpl w:val="0976365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557CFF"/>
    <w:multiLevelType w:val="multilevel"/>
    <w:tmpl w:val="29ECAE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C6B6C4B"/>
    <w:multiLevelType w:val="hybridMultilevel"/>
    <w:tmpl w:val="8B62A2D0"/>
    <w:lvl w:ilvl="0" w:tplc="AE22BBC8">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620" w:hanging="360"/>
      </w:pPr>
      <w:rPr>
        <w:rFonts w:ascii="Courier New" w:hAnsi="Courier New" w:cs="Courier New" w:hint="default"/>
      </w:rPr>
    </w:lvl>
    <w:lvl w:ilvl="2" w:tplc="1C090005">
      <w:start w:val="1"/>
      <w:numFmt w:val="bullet"/>
      <w:lvlText w:val=""/>
      <w:lvlJc w:val="left"/>
      <w:pPr>
        <w:ind w:left="2340" w:hanging="360"/>
      </w:pPr>
      <w:rPr>
        <w:rFonts w:ascii="Wingdings" w:hAnsi="Wingdings" w:hint="default"/>
      </w:rPr>
    </w:lvl>
    <w:lvl w:ilvl="3" w:tplc="1C090001">
      <w:start w:val="1"/>
      <w:numFmt w:val="bullet"/>
      <w:lvlText w:val=""/>
      <w:lvlJc w:val="left"/>
      <w:pPr>
        <w:ind w:left="3060" w:hanging="360"/>
      </w:pPr>
      <w:rPr>
        <w:rFonts w:ascii="Symbol" w:hAnsi="Symbol" w:hint="default"/>
      </w:rPr>
    </w:lvl>
    <w:lvl w:ilvl="4" w:tplc="1C090003">
      <w:start w:val="1"/>
      <w:numFmt w:val="bullet"/>
      <w:lvlText w:val="o"/>
      <w:lvlJc w:val="left"/>
      <w:pPr>
        <w:ind w:left="3780" w:hanging="360"/>
      </w:pPr>
      <w:rPr>
        <w:rFonts w:ascii="Courier New" w:hAnsi="Courier New" w:cs="Courier New" w:hint="default"/>
      </w:rPr>
    </w:lvl>
    <w:lvl w:ilvl="5" w:tplc="1C090005">
      <w:start w:val="1"/>
      <w:numFmt w:val="bullet"/>
      <w:lvlText w:val=""/>
      <w:lvlJc w:val="left"/>
      <w:pPr>
        <w:ind w:left="4500" w:hanging="360"/>
      </w:pPr>
      <w:rPr>
        <w:rFonts w:ascii="Wingdings" w:hAnsi="Wingdings" w:hint="default"/>
      </w:rPr>
    </w:lvl>
    <w:lvl w:ilvl="6" w:tplc="1C090001">
      <w:start w:val="1"/>
      <w:numFmt w:val="bullet"/>
      <w:lvlText w:val=""/>
      <w:lvlJc w:val="left"/>
      <w:pPr>
        <w:ind w:left="5220" w:hanging="360"/>
      </w:pPr>
      <w:rPr>
        <w:rFonts w:ascii="Symbol" w:hAnsi="Symbol" w:hint="default"/>
      </w:rPr>
    </w:lvl>
    <w:lvl w:ilvl="7" w:tplc="1C090003">
      <w:start w:val="1"/>
      <w:numFmt w:val="bullet"/>
      <w:lvlText w:val="o"/>
      <w:lvlJc w:val="left"/>
      <w:pPr>
        <w:ind w:left="5940" w:hanging="360"/>
      </w:pPr>
      <w:rPr>
        <w:rFonts w:ascii="Courier New" w:hAnsi="Courier New" w:cs="Courier New" w:hint="default"/>
      </w:rPr>
    </w:lvl>
    <w:lvl w:ilvl="8" w:tplc="1C090005">
      <w:start w:val="1"/>
      <w:numFmt w:val="bullet"/>
      <w:lvlText w:val=""/>
      <w:lvlJc w:val="left"/>
      <w:pPr>
        <w:ind w:left="6660" w:hanging="360"/>
      </w:pPr>
      <w:rPr>
        <w:rFonts w:ascii="Wingdings" w:hAnsi="Wingdings" w:hint="default"/>
      </w:rPr>
    </w:lvl>
  </w:abstractNum>
  <w:abstractNum w:abstractNumId="3" w15:restartNumberingAfterBreak="0">
    <w:nsid w:val="6C1F1CBB"/>
    <w:multiLevelType w:val="hybridMultilevel"/>
    <w:tmpl w:val="B7860BD6"/>
    <w:lvl w:ilvl="0" w:tplc="04090001">
      <w:start w:val="1"/>
      <w:numFmt w:val="bullet"/>
      <w:lvlText w:val=""/>
      <w:lvlJc w:val="left"/>
      <w:pPr>
        <w:ind w:left="970" w:hanging="360"/>
      </w:pPr>
      <w:rPr>
        <w:rFonts w:ascii="Symbol" w:hAnsi="Symbol" w:hint="default"/>
      </w:rPr>
    </w:lvl>
    <w:lvl w:ilvl="1" w:tplc="04090003">
      <w:start w:val="1"/>
      <w:numFmt w:val="bullet"/>
      <w:lvlText w:val="o"/>
      <w:lvlJc w:val="left"/>
      <w:pPr>
        <w:ind w:left="1690" w:hanging="360"/>
      </w:pPr>
      <w:rPr>
        <w:rFonts w:ascii="Courier New" w:hAnsi="Courier New" w:cs="Courier New" w:hint="default"/>
      </w:rPr>
    </w:lvl>
    <w:lvl w:ilvl="2" w:tplc="04090005">
      <w:start w:val="1"/>
      <w:numFmt w:val="bullet"/>
      <w:lvlText w:val=""/>
      <w:lvlJc w:val="left"/>
      <w:pPr>
        <w:ind w:left="241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850" w:hanging="360"/>
      </w:pPr>
      <w:rPr>
        <w:rFonts w:ascii="Courier New" w:hAnsi="Courier New" w:cs="Courier New" w:hint="default"/>
      </w:rPr>
    </w:lvl>
    <w:lvl w:ilvl="5" w:tplc="04090005">
      <w:start w:val="1"/>
      <w:numFmt w:val="bullet"/>
      <w:lvlText w:val=""/>
      <w:lvlJc w:val="left"/>
      <w:pPr>
        <w:ind w:left="4570" w:hanging="360"/>
      </w:pPr>
      <w:rPr>
        <w:rFonts w:ascii="Wingdings" w:hAnsi="Wingdings" w:hint="default"/>
      </w:rPr>
    </w:lvl>
    <w:lvl w:ilvl="6" w:tplc="04090001">
      <w:start w:val="1"/>
      <w:numFmt w:val="bullet"/>
      <w:lvlText w:val=""/>
      <w:lvlJc w:val="left"/>
      <w:pPr>
        <w:ind w:left="5290" w:hanging="360"/>
      </w:pPr>
      <w:rPr>
        <w:rFonts w:ascii="Symbol" w:hAnsi="Symbol" w:hint="default"/>
      </w:rPr>
    </w:lvl>
    <w:lvl w:ilvl="7" w:tplc="04090003">
      <w:start w:val="1"/>
      <w:numFmt w:val="bullet"/>
      <w:lvlText w:val="o"/>
      <w:lvlJc w:val="left"/>
      <w:pPr>
        <w:ind w:left="6010" w:hanging="360"/>
      </w:pPr>
      <w:rPr>
        <w:rFonts w:ascii="Courier New" w:hAnsi="Courier New" w:cs="Courier New" w:hint="default"/>
      </w:rPr>
    </w:lvl>
    <w:lvl w:ilvl="8" w:tplc="04090005">
      <w:start w:val="1"/>
      <w:numFmt w:val="bullet"/>
      <w:lvlText w:val=""/>
      <w:lvlJc w:val="left"/>
      <w:pPr>
        <w:ind w:left="6730" w:hanging="360"/>
      </w:pPr>
      <w:rPr>
        <w:rFonts w:ascii="Wingdings" w:hAnsi="Wingdings" w:hint="default"/>
      </w:rPr>
    </w:lvl>
  </w:abstractNum>
  <w:num w:numId="1" w16cid:durableId="1596549437">
    <w:abstractNumId w:val="3"/>
  </w:num>
  <w:num w:numId="2" w16cid:durableId="1796098489">
    <w:abstractNumId w:val="2"/>
  </w:num>
  <w:num w:numId="3" w16cid:durableId="202405850">
    <w:abstractNumId w:val="1"/>
  </w:num>
  <w:num w:numId="4" w16cid:durableId="15390535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ED"/>
    <w:rsid w:val="00030D9C"/>
    <w:rsid w:val="00042FF3"/>
    <w:rsid w:val="000511C4"/>
    <w:rsid w:val="000B256A"/>
    <w:rsid w:val="001218E5"/>
    <w:rsid w:val="00125B3C"/>
    <w:rsid w:val="00165F25"/>
    <w:rsid w:val="0018426F"/>
    <w:rsid w:val="001D068F"/>
    <w:rsid w:val="002C73C5"/>
    <w:rsid w:val="002F4328"/>
    <w:rsid w:val="00322600"/>
    <w:rsid w:val="00356E1D"/>
    <w:rsid w:val="003671C7"/>
    <w:rsid w:val="003F61E8"/>
    <w:rsid w:val="004064BA"/>
    <w:rsid w:val="004813DB"/>
    <w:rsid w:val="004822C3"/>
    <w:rsid w:val="00485BEA"/>
    <w:rsid w:val="004866F0"/>
    <w:rsid w:val="004A7FBC"/>
    <w:rsid w:val="004E57ED"/>
    <w:rsid w:val="0053138F"/>
    <w:rsid w:val="005424CF"/>
    <w:rsid w:val="00551302"/>
    <w:rsid w:val="00562A3B"/>
    <w:rsid w:val="005D670A"/>
    <w:rsid w:val="005E6FDF"/>
    <w:rsid w:val="0063793C"/>
    <w:rsid w:val="00696B9B"/>
    <w:rsid w:val="006A0CEE"/>
    <w:rsid w:val="006F0287"/>
    <w:rsid w:val="007170EF"/>
    <w:rsid w:val="007A1B7F"/>
    <w:rsid w:val="007A2DF4"/>
    <w:rsid w:val="007F4B54"/>
    <w:rsid w:val="00986A66"/>
    <w:rsid w:val="009B2297"/>
    <w:rsid w:val="009D42C3"/>
    <w:rsid w:val="009F7DBF"/>
    <w:rsid w:val="00A4080D"/>
    <w:rsid w:val="00A960A2"/>
    <w:rsid w:val="00AB028F"/>
    <w:rsid w:val="00AB2EC9"/>
    <w:rsid w:val="00B8137E"/>
    <w:rsid w:val="00BB452D"/>
    <w:rsid w:val="00BE267B"/>
    <w:rsid w:val="00C21A6A"/>
    <w:rsid w:val="00C6241A"/>
    <w:rsid w:val="00C71A1B"/>
    <w:rsid w:val="00C80DD6"/>
    <w:rsid w:val="00D53DBB"/>
    <w:rsid w:val="00E22911"/>
    <w:rsid w:val="00E43F58"/>
    <w:rsid w:val="00E8316D"/>
    <w:rsid w:val="00F0659F"/>
    <w:rsid w:val="00F63102"/>
    <w:rsid w:val="00FA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5952"/>
  <w15:chartTrackingRefBased/>
  <w15:docId w15:val="{82CC769D-CE33-436D-AEEE-AA844C14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7ED"/>
    <w:rPr>
      <w:rFonts w:eastAsiaTheme="majorEastAsia" w:cstheme="majorBidi"/>
      <w:color w:val="272727" w:themeColor="text1" w:themeTint="D8"/>
    </w:rPr>
  </w:style>
  <w:style w:type="paragraph" w:styleId="Title">
    <w:name w:val="Title"/>
    <w:basedOn w:val="Normal"/>
    <w:next w:val="Normal"/>
    <w:link w:val="TitleChar"/>
    <w:uiPriority w:val="10"/>
    <w:qFormat/>
    <w:rsid w:val="004E5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7ED"/>
    <w:pPr>
      <w:spacing w:before="160"/>
      <w:jc w:val="center"/>
    </w:pPr>
    <w:rPr>
      <w:i/>
      <w:iCs/>
      <w:color w:val="404040" w:themeColor="text1" w:themeTint="BF"/>
    </w:rPr>
  </w:style>
  <w:style w:type="character" w:customStyle="1" w:styleId="QuoteChar">
    <w:name w:val="Quote Char"/>
    <w:basedOn w:val="DefaultParagraphFont"/>
    <w:link w:val="Quote"/>
    <w:uiPriority w:val="29"/>
    <w:rsid w:val="004E57ED"/>
    <w:rPr>
      <w:i/>
      <w:iCs/>
      <w:color w:val="404040" w:themeColor="text1" w:themeTint="BF"/>
    </w:rPr>
  </w:style>
  <w:style w:type="paragraph" w:styleId="ListParagraph">
    <w:name w:val="List Paragraph"/>
    <w:basedOn w:val="Normal"/>
    <w:uiPriority w:val="34"/>
    <w:qFormat/>
    <w:rsid w:val="004E57ED"/>
    <w:pPr>
      <w:ind w:left="720"/>
      <w:contextualSpacing/>
    </w:pPr>
  </w:style>
  <w:style w:type="character" w:styleId="IntenseEmphasis">
    <w:name w:val="Intense Emphasis"/>
    <w:basedOn w:val="DefaultParagraphFont"/>
    <w:uiPriority w:val="21"/>
    <w:qFormat/>
    <w:rsid w:val="004E57ED"/>
    <w:rPr>
      <w:i/>
      <w:iCs/>
      <w:color w:val="0F4761" w:themeColor="accent1" w:themeShade="BF"/>
    </w:rPr>
  </w:style>
  <w:style w:type="paragraph" w:styleId="IntenseQuote">
    <w:name w:val="Intense Quote"/>
    <w:basedOn w:val="Normal"/>
    <w:next w:val="Normal"/>
    <w:link w:val="IntenseQuoteChar"/>
    <w:uiPriority w:val="30"/>
    <w:qFormat/>
    <w:rsid w:val="004E5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7ED"/>
    <w:rPr>
      <w:i/>
      <w:iCs/>
      <w:color w:val="0F4761" w:themeColor="accent1" w:themeShade="BF"/>
    </w:rPr>
  </w:style>
  <w:style w:type="character" w:styleId="IntenseReference">
    <w:name w:val="Intense Reference"/>
    <w:basedOn w:val="DefaultParagraphFont"/>
    <w:uiPriority w:val="32"/>
    <w:qFormat/>
    <w:rsid w:val="004E57ED"/>
    <w:rPr>
      <w:b/>
      <w:bCs/>
      <w:smallCaps/>
      <w:color w:val="0F4761" w:themeColor="accent1" w:themeShade="BF"/>
      <w:spacing w:val="5"/>
    </w:rPr>
  </w:style>
  <w:style w:type="paragraph" w:styleId="Header">
    <w:name w:val="header"/>
    <w:basedOn w:val="Normal"/>
    <w:link w:val="HeaderChar"/>
    <w:uiPriority w:val="99"/>
    <w:unhideWhenUsed/>
    <w:rsid w:val="004E5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ED"/>
  </w:style>
  <w:style w:type="paragraph" w:styleId="Footer">
    <w:name w:val="footer"/>
    <w:basedOn w:val="Normal"/>
    <w:link w:val="FooterChar"/>
    <w:uiPriority w:val="99"/>
    <w:unhideWhenUsed/>
    <w:rsid w:val="004E5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4FD6C04395468492D4AA77BB2A6C18"/>
        <w:category>
          <w:name w:val="General"/>
          <w:gallery w:val="placeholder"/>
        </w:category>
        <w:types>
          <w:type w:val="bbPlcHdr"/>
        </w:types>
        <w:behaviors>
          <w:behavior w:val="content"/>
        </w:behaviors>
        <w:guid w:val="{2F68BA9A-E794-424A-8C16-543E8A4C22BC}"/>
      </w:docPartPr>
      <w:docPartBody>
        <w:p w:rsidR="0081075F" w:rsidRDefault="007F5732" w:rsidP="007F5732">
          <w:pPr>
            <w:pStyle w:val="654FD6C04395468492D4AA77BB2A6C18"/>
          </w:pPr>
          <w:r>
            <w:t>[Type here]</w:t>
          </w:r>
        </w:p>
      </w:docPartBody>
    </w:docPart>
    <w:docPart>
      <w:docPartPr>
        <w:name w:val="A03939B408E54141A2D8289E4E52C1DF"/>
        <w:category>
          <w:name w:val="General"/>
          <w:gallery w:val="placeholder"/>
        </w:category>
        <w:types>
          <w:type w:val="bbPlcHdr"/>
        </w:types>
        <w:behaviors>
          <w:behavior w:val="content"/>
        </w:behaviors>
        <w:guid w:val="{1DAC48FE-ABCD-43D1-8BC6-57E5471B1011}"/>
      </w:docPartPr>
      <w:docPartBody>
        <w:p w:rsidR="0081075F" w:rsidRDefault="007F5732" w:rsidP="007F5732">
          <w:pPr>
            <w:pStyle w:val="A03939B408E54141A2D8289E4E52C1D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32"/>
    <w:rsid w:val="00344972"/>
    <w:rsid w:val="004064BA"/>
    <w:rsid w:val="005E2108"/>
    <w:rsid w:val="007F5732"/>
    <w:rsid w:val="0081075F"/>
    <w:rsid w:val="00C80DD6"/>
    <w:rsid w:val="00E2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4FD6C04395468492D4AA77BB2A6C18">
    <w:name w:val="654FD6C04395468492D4AA77BB2A6C18"/>
    <w:rsid w:val="007F5732"/>
  </w:style>
  <w:style w:type="paragraph" w:customStyle="1" w:styleId="A03939B408E54141A2D8289E4E52C1DF">
    <w:name w:val="A03939B408E54141A2D8289E4E52C1DF"/>
    <w:rsid w:val="007F5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32708FC675341BAB0346BF8060D68" ma:contentTypeVersion="1" ma:contentTypeDescription="Create a new document." ma:contentTypeScope="" ma:versionID="a5f892dab6c8bf2aed81f39bb1f46edb">
  <xsd:schema xmlns:xsd="http://www.w3.org/2001/XMLSchema" xmlns:xs="http://www.w3.org/2001/XMLSchema" xmlns:p="http://schemas.microsoft.com/office/2006/metadata/properties" xmlns:ns3="ffa10941-1947-4a6b-9e11-496038903059" targetNamespace="http://schemas.microsoft.com/office/2006/metadata/properties" ma:root="true" ma:fieldsID="afc1a73647120e76077b8b5a454b299e" ns3:_="">
    <xsd:import namespace="ffa10941-1947-4a6b-9e11-496038903059"/>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10941-1947-4a6b-9e11-49603890305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C9F9D-BF0A-491E-9DF2-E4DE36FD9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10941-1947-4a6b-9e11-496038903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092D9-D3EA-4421-B80F-2BD996744F6A}">
  <ds:schemaRefs>
    <ds:schemaRef ds:uri="http://schemas.microsoft.com/sharepoint/v3/contenttype/forms"/>
  </ds:schemaRefs>
</ds:datastoreItem>
</file>

<file path=customXml/itemProps3.xml><?xml version="1.0" encoding="utf-8"?>
<ds:datastoreItem xmlns:ds="http://schemas.openxmlformats.org/officeDocument/2006/customXml" ds:itemID="{B6FACA52-AD31-4C3D-87DB-3DC96C0532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a9a8b8c-3ea3-4799-a43e-5510398e7a3b}" enabled="0" method="" siteId="{ca9a8b8c-3ea3-4799-a43e-5510398e7a3b}"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SITHOLE</dc:creator>
  <cp:keywords/>
  <dc:description/>
  <cp:lastModifiedBy>Mbhuti Sithole</cp:lastModifiedBy>
  <cp:revision>2</cp:revision>
  <dcterms:created xsi:type="dcterms:W3CDTF">2026-03-30T21:01:00Z</dcterms:created>
  <dcterms:modified xsi:type="dcterms:W3CDTF">2026-03-30T21:01:00Z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0x010100ACC32708FC675341BAB0346BF8060D68</vt:lpwstr>
  </property>
</Properties>
</file>